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72" w:rsidRPr="004E3B8B" w:rsidRDefault="00A95E72">
      <w:pPr>
        <w:rPr>
          <w:b/>
          <w:sz w:val="28"/>
          <w:szCs w:val="28"/>
        </w:rPr>
      </w:pPr>
      <w:r w:rsidRPr="004E3B8B">
        <w:rPr>
          <w:b/>
          <w:sz w:val="28"/>
          <w:szCs w:val="28"/>
        </w:rPr>
        <w:t>KG:</w:t>
      </w:r>
    </w:p>
    <w:p w:rsidR="00A95E72" w:rsidRPr="004E3B8B" w:rsidRDefault="00A95E72">
      <w:pPr>
        <w:rPr>
          <w:b/>
          <w:sz w:val="28"/>
          <w:szCs w:val="28"/>
        </w:rPr>
      </w:pPr>
      <w:r w:rsidRPr="004E3B8B">
        <w:rPr>
          <w:b/>
          <w:sz w:val="28"/>
          <w:szCs w:val="28"/>
        </w:rPr>
        <w:t>Eingezahlt am:</w:t>
      </w:r>
    </w:p>
    <w:p w:rsidR="00A95E72" w:rsidRDefault="00A95E7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519"/>
        <w:gridCol w:w="1441"/>
        <w:gridCol w:w="1468"/>
      </w:tblGrid>
      <w:tr w:rsidR="00515FE6" w:rsidRPr="00A46B01" w:rsidTr="00515FE6">
        <w:tc>
          <w:tcPr>
            <w:tcW w:w="2689" w:type="dxa"/>
          </w:tcPr>
          <w:p w:rsidR="00515FE6" w:rsidRPr="00A46B01" w:rsidRDefault="00515FE6">
            <w:r w:rsidRPr="00A46B01">
              <w:t>Verwendungszweck /</w:t>
            </w:r>
          </w:p>
          <w:p w:rsidR="00515FE6" w:rsidRPr="00A46B01" w:rsidRDefault="00515FE6">
            <w:r>
              <w:t xml:space="preserve">HHST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15FE6" w:rsidRDefault="00515FE6">
            <w:r>
              <w:t>Investitions-</w:t>
            </w:r>
          </w:p>
          <w:p w:rsidR="00515FE6" w:rsidRPr="00A46B01" w:rsidRDefault="00515FE6">
            <w:r>
              <w:t>Nummer</w:t>
            </w:r>
          </w:p>
        </w:tc>
        <w:tc>
          <w:tcPr>
            <w:tcW w:w="1519" w:type="dxa"/>
          </w:tcPr>
          <w:p w:rsidR="00515FE6" w:rsidRPr="00A46B01" w:rsidRDefault="00515FE6">
            <w:r w:rsidRPr="00A46B01">
              <w:t>Kollekte vom /</w:t>
            </w:r>
          </w:p>
          <w:p w:rsidR="00515FE6" w:rsidRPr="00A46B01" w:rsidRDefault="00515FE6">
            <w:r w:rsidRPr="00A46B01">
              <w:t>Erstattung vom</w:t>
            </w:r>
          </w:p>
        </w:tc>
        <w:tc>
          <w:tcPr>
            <w:tcW w:w="1441" w:type="dxa"/>
          </w:tcPr>
          <w:p w:rsidR="00515FE6" w:rsidRPr="00A46B01" w:rsidRDefault="00515FE6">
            <w:r w:rsidRPr="00A46B01">
              <w:t>Scheine</w:t>
            </w:r>
          </w:p>
          <w:p w:rsidR="00515FE6" w:rsidRPr="00A46B01" w:rsidRDefault="00515FE6"/>
        </w:tc>
        <w:tc>
          <w:tcPr>
            <w:tcW w:w="1468" w:type="dxa"/>
          </w:tcPr>
          <w:p w:rsidR="00515FE6" w:rsidRPr="00A46B01" w:rsidRDefault="00515FE6">
            <w:r w:rsidRPr="00A46B01">
              <w:t>Hartgeld</w:t>
            </w:r>
          </w:p>
          <w:p w:rsidR="00515FE6" w:rsidRDefault="00515FE6" w:rsidP="000574E6">
            <w:pPr>
              <w:rPr>
                <w:b/>
              </w:rPr>
            </w:pPr>
            <w:proofErr w:type="spellStart"/>
            <w:r w:rsidRPr="000574E6">
              <w:rPr>
                <w:b/>
                <w:highlight w:val="yellow"/>
              </w:rPr>
              <w:t>Safebag</w:t>
            </w:r>
            <w:proofErr w:type="spellEnd"/>
            <w:r w:rsidRPr="000574E6">
              <w:rPr>
                <w:b/>
                <w:highlight w:val="yellow"/>
              </w:rPr>
              <w:t>-Nr.</w:t>
            </w:r>
          </w:p>
          <w:p w:rsidR="00515FE6" w:rsidRDefault="00515FE6" w:rsidP="000574E6">
            <w:pPr>
              <w:rPr>
                <w:b/>
              </w:rPr>
            </w:pPr>
          </w:p>
          <w:p w:rsidR="00515FE6" w:rsidRPr="000574E6" w:rsidRDefault="00515FE6" w:rsidP="000574E6">
            <w:pPr>
              <w:rPr>
                <w:b/>
              </w:rPr>
            </w:pPr>
          </w:p>
        </w:tc>
      </w:tr>
      <w:tr w:rsidR="00515FE6" w:rsidRPr="00A46B01" w:rsidTr="00515FE6">
        <w:trPr>
          <w:trHeight w:val="967"/>
        </w:trPr>
        <w:tc>
          <w:tcPr>
            <w:tcW w:w="2689" w:type="dxa"/>
          </w:tcPr>
          <w:p w:rsidR="00515FE6" w:rsidRDefault="00515FE6"/>
          <w:p w:rsidR="00515FE6" w:rsidRDefault="00515FE6"/>
          <w:p w:rsidR="00515FE6" w:rsidRPr="000574E6" w:rsidRDefault="00515FE6" w:rsidP="000574E6"/>
        </w:tc>
        <w:tc>
          <w:tcPr>
            <w:tcW w:w="1417" w:type="dxa"/>
          </w:tcPr>
          <w:p w:rsidR="00515FE6" w:rsidRDefault="00515FE6"/>
        </w:tc>
        <w:tc>
          <w:tcPr>
            <w:tcW w:w="1519" w:type="dxa"/>
          </w:tcPr>
          <w:p w:rsidR="00515FE6" w:rsidRDefault="00515FE6"/>
        </w:tc>
        <w:tc>
          <w:tcPr>
            <w:tcW w:w="1441" w:type="dxa"/>
          </w:tcPr>
          <w:p w:rsidR="00515FE6" w:rsidRDefault="00515FE6">
            <w:r>
              <w:t>€</w:t>
            </w:r>
          </w:p>
        </w:tc>
        <w:tc>
          <w:tcPr>
            <w:tcW w:w="1468" w:type="dxa"/>
          </w:tcPr>
          <w:p w:rsidR="00515FE6" w:rsidRDefault="00515FE6">
            <w:r>
              <w:t>€</w:t>
            </w:r>
          </w:p>
        </w:tc>
      </w:tr>
      <w:tr w:rsidR="00515FE6" w:rsidRPr="00A46B01" w:rsidTr="00515FE6">
        <w:trPr>
          <w:trHeight w:val="1074"/>
        </w:trPr>
        <w:tc>
          <w:tcPr>
            <w:tcW w:w="2689" w:type="dxa"/>
          </w:tcPr>
          <w:p w:rsidR="00515FE6" w:rsidRDefault="00515FE6"/>
          <w:p w:rsidR="00515FE6" w:rsidRDefault="00515FE6"/>
          <w:p w:rsidR="00515FE6" w:rsidRDefault="00515FE6"/>
          <w:p w:rsidR="00515FE6" w:rsidRDefault="00515FE6"/>
        </w:tc>
        <w:tc>
          <w:tcPr>
            <w:tcW w:w="1417" w:type="dxa"/>
          </w:tcPr>
          <w:p w:rsidR="00515FE6" w:rsidRDefault="00515FE6"/>
        </w:tc>
        <w:tc>
          <w:tcPr>
            <w:tcW w:w="1519" w:type="dxa"/>
          </w:tcPr>
          <w:p w:rsidR="00515FE6" w:rsidRDefault="00515FE6"/>
        </w:tc>
        <w:tc>
          <w:tcPr>
            <w:tcW w:w="1441" w:type="dxa"/>
          </w:tcPr>
          <w:p w:rsidR="00515FE6" w:rsidRDefault="00515FE6">
            <w:r>
              <w:t>€</w:t>
            </w:r>
          </w:p>
        </w:tc>
        <w:tc>
          <w:tcPr>
            <w:tcW w:w="1468" w:type="dxa"/>
          </w:tcPr>
          <w:p w:rsidR="00515FE6" w:rsidRDefault="00515FE6">
            <w:r>
              <w:t>€</w:t>
            </w:r>
          </w:p>
          <w:p w:rsidR="00515FE6" w:rsidRDefault="00515FE6"/>
        </w:tc>
      </w:tr>
      <w:tr w:rsidR="00515FE6" w:rsidRPr="00A46B01" w:rsidTr="00515FE6">
        <w:trPr>
          <w:trHeight w:val="1074"/>
        </w:trPr>
        <w:tc>
          <w:tcPr>
            <w:tcW w:w="2689" w:type="dxa"/>
          </w:tcPr>
          <w:p w:rsidR="00515FE6" w:rsidRDefault="00515FE6"/>
          <w:p w:rsidR="00515FE6" w:rsidRDefault="00515FE6"/>
          <w:p w:rsidR="00515FE6" w:rsidRDefault="00515FE6"/>
          <w:p w:rsidR="00515FE6" w:rsidRDefault="00515FE6"/>
        </w:tc>
        <w:tc>
          <w:tcPr>
            <w:tcW w:w="1417" w:type="dxa"/>
          </w:tcPr>
          <w:p w:rsidR="00515FE6" w:rsidRDefault="00515FE6"/>
        </w:tc>
        <w:tc>
          <w:tcPr>
            <w:tcW w:w="1519" w:type="dxa"/>
          </w:tcPr>
          <w:p w:rsidR="00515FE6" w:rsidRDefault="00515FE6"/>
        </w:tc>
        <w:tc>
          <w:tcPr>
            <w:tcW w:w="1441" w:type="dxa"/>
          </w:tcPr>
          <w:p w:rsidR="00515FE6" w:rsidRDefault="00515FE6">
            <w:r>
              <w:t>€</w:t>
            </w:r>
          </w:p>
        </w:tc>
        <w:tc>
          <w:tcPr>
            <w:tcW w:w="1468" w:type="dxa"/>
          </w:tcPr>
          <w:p w:rsidR="00515FE6" w:rsidRDefault="00515FE6">
            <w:r>
              <w:t>€</w:t>
            </w:r>
          </w:p>
          <w:p w:rsidR="00515FE6" w:rsidRDefault="00515FE6"/>
        </w:tc>
      </w:tr>
      <w:tr w:rsidR="00515FE6" w:rsidRPr="00A46B01" w:rsidTr="00515FE6">
        <w:trPr>
          <w:trHeight w:val="1074"/>
        </w:trPr>
        <w:tc>
          <w:tcPr>
            <w:tcW w:w="2689" w:type="dxa"/>
          </w:tcPr>
          <w:p w:rsidR="00515FE6" w:rsidRDefault="00515FE6"/>
          <w:p w:rsidR="00515FE6" w:rsidRDefault="00515FE6"/>
          <w:p w:rsidR="00515FE6" w:rsidRDefault="00515FE6"/>
          <w:p w:rsidR="00515FE6" w:rsidRDefault="00515FE6"/>
        </w:tc>
        <w:tc>
          <w:tcPr>
            <w:tcW w:w="1417" w:type="dxa"/>
          </w:tcPr>
          <w:p w:rsidR="00515FE6" w:rsidRDefault="00515FE6"/>
        </w:tc>
        <w:tc>
          <w:tcPr>
            <w:tcW w:w="1519" w:type="dxa"/>
          </w:tcPr>
          <w:p w:rsidR="00515FE6" w:rsidRDefault="00515FE6"/>
        </w:tc>
        <w:tc>
          <w:tcPr>
            <w:tcW w:w="1441" w:type="dxa"/>
          </w:tcPr>
          <w:p w:rsidR="00515FE6" w:rsidRDefault="00515FE6">
            <w:r>
              <w:t>€</w:t>
            </w:r>
          </w:p>
        </w:tc>
        <w:tc>
          <w:tcPr>
            <w:tcW w:w="1468" w:type="dxa"/>
          </w:tcPr>
          <w:p w:rsidR="00515FE6" w:rsidRDefault="00515FE6">
            <w:r>
              <w:t>€</w:t>
            </w:r>
          </w:p>
          <w:p w:rsidR="00515FE6" w:rsidRDefault="00515FE6" w:rsidP="00327B32"/>
        </w:tc>
      </w:tr>
      <w:tr w:rsidR="00515FE6" w:rsidRPr="00A46B01" w:rsidTr="00515FE6">
        <w:tc>
          <w:tcPr>
            <w:tcW w:w="2689" w:type="dxa"/>
          </w:tcPr>
          <w:p w:rsidR="00515FE6" w:rsidRDefault="00515FE6"/>
          <w:p w:rsidR="00515FE6" w:rsidRDefault="00515FE6"/>
        </w:tc>
        <w:tc>
          <w:tcPr>
            <w:tcW w:w="1417" w:type="dxa"/>
          </w:tcPr>
          <w:p w:rsidR="00515FE6" w:rsidRDefault="00515FE6"/>
        </w:tc>
        <w:tc>
          <w:tcPr>
            <w:tcW w:w="1519" w:type="dxa"/>
          </w:tcPr>
          <w:p w:rsidR="00515FE6" w:rsidRDefault="00515FE6">
            <w:r>
              <w:t>Summe jeweils:</w:t>
            </w:r>
          </w:p>
        </w:tc>
        <w:tc>
          <w:tcPr>
            <w:tcW w:w="1441" w:type="dxa"/>
          </w:tcPr>
          <w:p w:rsidR="00515FE6" w:rsidRDefault="00515FE6">
            <w:r>
              <w:t>€</w:t>
            </w:r>
          </w:p>
        </w:tc>
        <w:tc>
          <w:tcPr>
            <w:tcW w:w="1468" w:type="dxa"/>
          </w:tcPr>
          <w:p w:rsidR="00515FE6" w:rsidRDefault="00515FE6">
            <w:r>
              <w:t>€</w:t>
            </w:r>
          </w:p>
        </w:tc>
      </w:tr>
    </w:tbl>
    <w:p w:rsidR="00A95E72" w:rsidRDefault="00A95E72"/>
    <w:p w:rsidR="00377803" w:rsidRDefault="00377803"/>
    <w:p w:rsidR="00377803" w:rsidRDefault="00377803"/>
    <w:p w:rsidR="00377803" w:rsidRDefault="00377803"/>
    <w:p w:rsidR="00377803" w:rsidRDefault="00377803"/>
    <w:p w:rsidR="00377803" w:rsidRDefault="00377803" w:rsidP="00FD6872">
      <w:pPr>
        <w:pStyle w:val="Listenabsatz"/>
        <w:numPr>
          <w:ilvl w:val="0"/>
          <w:numId w:val="1"/>
        </w:numPr>
        <w:spacing w:line="276" w:lineRule="auto"/>
      </w:pPr>
      <w:r>
        <w:t xml:space="preserve">Bitte verwenden Sie pro Einzahlungstag nur 1 </w:t>
      </w:r>
      <w:proofErr w:type="spellStart"/>
      <w:r>
        <w:t>Safebag</w:t>
      </w:r>
      <w:proofErr w:type="spellEnd"/>
      <w:r>
        <w:t xml:space="preserve">. </w:t>
      </w:r>
      <w:r w:rsidR="00FD6872">
        <w:t xml:space="preserve">                                                                                                     </w:t>
      </w:r>
    </w:p>
    <w:p w:rsidR="00377803" w:rsidRDefault="00377803" w:rsidP="00FD6872">
      <w:pPr>
        <w:pStyle w:val="Listenabsatz"/>
        <w:numPr>
          <w:ilvl w:val="0"/>
          <w:numId w:val="1"/>
        </w:numPr>
        <w:spacing w:line="276" w:lineRule="auto"/>
      </w:pPr>
      <w:r>
        <w:t xml:space="preserve">Für das Hartgeld mehrerer Kollekten, die am selben Tag zusammen eingezahlt werden, wird nur 1 </w:t>
      </w:r>
      <w:proofErr w:type="spellStart"/>
      <w:r>
        <w:t>Safebag</w:t>
      </w:r>
      <w:proofErr w:type="spellEnd"/>
      <w:r>
        <w:t xml:space="preserve"> verwendet.</w:t>
      </w:r>
      <w:r w:rsidR="0096127B">
        <w:t xml:space="preserve"> Grundsätzlich sollen Kollekten wöchentlich abgeführt werden.</w:t>
      </w:r>
    </w:p>
    <w:p w:rsidR="0096127B" w:rsidRDefault="0096127B" w:rsidP="00FD6872">
      <w:pPr>
        <w:pStyle w:val="Listenabsatz"/>
        <w:numPr>
          <w:ilvl w:val="0"/>
          <w:numId w:val="1"/>
        </w:numPr>
        <w:spacing w:line="276" w:lineRule="auto"/>
      </w:pPr>
      <w:r>
        <w:t xml:space="preserve">Bitte notieren Sie keine Beträge auf dem </w:t>
      </w:r>
      <w:proofErr w:type="spellStart"/>
      <w:r>
        <w:t>Safebag</w:t>
      </w:r>
      <w:proofErr w:type="spellEnd"/>
      <w:r>
        <w:t>.</w:t>
      </w:r>
    </w:p>
    <w:p w:rsidR="0096127B" w:rsidRDefault="0096127B" w:rsidP="00FD6872">
      <w:pPr>
        <w:pStyle w:val="Listenabsatz"/>
        <w:numPr>
          <w:ilvl w:val="0"/>
          <w:numId w:val="1"/>
        </w:numPr>
        <w:spacing w:line="276" w:lineRule="auto"/>
      </w:pPr>
      <w:r>
        <w:t xml:space="preserve">Die o.a. </w:t>
      </w:r>
      <w:proofErr w:type="spellStart"/>
      <w:r>
        <w:t>Kollektenaufstellung</w:t>
      </w:r>
      <w:proofErr w:type="spellEnd"/>
      <w:r>
        <w:t xml:space="preserve"> ist verbindlich. Bitte mailen oder faxen Sie die Aufstellung am Tag der Einzahlung</w:t>
      </w:r>
      <w:r w:rsidR="00FD6872">
        <w:t xml:space="preserve"> und informieren Sie die Einzahler, wenn die Abführung von Kollekten nicht von Ihnen</w:t>
      </w:r>
      <w:r>
        <w:t xml:space="preserve"> </w:t>
      </w:r>
      <w:r w:rsidR="00FD6872">
        <w:t>selbst erledigt wird.</w:t>
      </w:r>
    </w:p>
    <w:p w:rsidR="008D16DB" w:rsidRDefault="008D16DB" w:rsidP="00FD6872">
      <w:pPr>
        <w:pStyle w:val="Listenabsatz"/>
        <w:numPr>
          <w:ilvl w:val="0"/>
          <w:numId w:val="1"/>
        </w:numPr>
        <w:spacing w:line="276" w:lineRule="auto"/>
      </w:pPr>
      <w:r>
        <w:t>Bei der Bareinzahlung auf Konto 216 geben Sie bitte nur die Gemeinde-Nr. an. Den Verwendungszweck der Kollekten oder anderer Einnahmen entnehmen wir dieser Aufstellung.</w:t>
      </w:r>
    </w:p>
    <w:p w:rsidR="00FD6872" w:rsidRDefault="00FD6872" w:rsidP="0096127B">
      <w:pPr>
        <w:spacing w:line="240" w:lineRule="auto"/>
      </w:pPr>
      <w:r>
        <w:t xml:space="preserve"> </w:t>
      </w:r>
    </w:p>
    <w:p w:rsidR="0096127B" w:rsidRDefault="00EE0632" w:rsidP="0096127B">
      <w:pPr>
        <w:spacing w:line="240" w:lineRule="auto"/>
      </w:pPr>
      <w:r>
        <w:t>Vielen Dank für Ihre Hilfe zur schnelleren Bearbeitung.</w:t>
      </w:r>
    </w:p>
    <w:sectPr w:rsidR="0096127B" w:rsidSect="00A46B0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1A70"/>
    <w:multiLevelType w:val="hybridMultilevel"/>
    <w:tmpl w:val="01BA8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72"/>
    <w:rsid w:val="000574E6"/>
    <w:rsid w:val="001A6D33"/>
    <w:rsid w:val="0021622D"/>
    <w:rsid w:val="0034382C"/>
    <w:rsid w:val="00377803"/>
    <w:rsid w:val="004E3B8B"/>
    <w:rsid w:val="00515FE6"/>
    <w:rsid w:val="008D16DB"/>
    <w:rsid w:val="0096127B"/>
    <w:rsid w:val="00A46B01"/>
    <w:rsid w:val="00A95E72"/>
    <w:rsid w:val="00B03333"/>
    <w:rsid w:val="00EE0632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458B-0562-49B6-9ACC-C9BC644C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E7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D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CAC6-957C-41C6-BF04-A299B5AC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Schwaberau</dc:creator>
  <cp:keywords/>
  <dc:description/>
  <cp:lastModifiedBy>Kerstin Hantel</cp:lastModifiedBy>
  <cp:revision>3</cp:revision>
  <cp:lastPrinted>2016-08-30T11:17:00Z</cp:lastPrinted>
  <dcterms:created xsi:type="dcterms:W3CDTF">2017-03-14T07:40:00Z</dcterms:created>
  <dcterms:modified xsi:type="dcterms:W3CDTF">2017-10-11T07:36:00Z</dcterms:modified>
</cp:coreProperties>
</file>